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2B" w:rsidRDefault="00257CF3" w:rsidP="00701C1D">
      <w:pPr>
        <w:tabs>
          <w:tab w:val="left" w:pos="720"/>
          <w:tab w:val="left" w:pos="1440"/>
          <w:tab w:val="left" w:pos="2160"/>
          <w:tab w:val="left" w:pos="2880"/>
          <w:tab w:val="left" w:pos="3600"/>
          <w:tab w:val="left" w:pos="4320"/>
          <w:tab w:val="left" w:pos="5040"/>
          <w:tab w:val="center" w:pos="5400"/>
          <w:tab w:val="left" w:pos="5760"/>
          <w:tab w:val="left" w:pos="8475"/>
        </w:tabs>
        <w:spacing w:before="120" w:line="240" w:lineRule="auto"/>
        <w:jc w:val="center"/>
        <w:rPr>
          <w:b/>
          <w:sz w:val="24"/>
          <w:szCs w:val="24"/>
        </w:rPr>
      </w:pPr>
      <w:bookmarkStart w:id="0" w:name="_GoBack"/>
      <w:bookmarkEnd w:id="0"/>
      <w:r>
        <w:rPr>
          <w:b/>
          <w:sz w:val="24"/>
          <w:szCs w:val="24"/>
          <w:highlight w:val="yellow"/>
        </w:rPr>
        <w:t xml:space="preserve">Attachment </w:t>
      </w:r>
      <w:r>
        <w:rPr>
          <w:b/>
          <w:color w:val="FF0000"/>
          <w:sz w:val="24"/>
          <w:szCs w:val="24"/>
          <w:highlight w:val="yellow"/>
        </w:rPr>
        <w:t>XX</w:t>
      </w:r>
      <w:r>
        <w:rPr>
          <w:b/>
          <w:sz w:val="24"/>
          <w:szCs w:val="24"/>
          <w:highlight w:val="yellow"/>
        </w:rPr>
        <w:t xml:space="preserve"> – Conformance Statements</w:t>
      </w:r>
    </w:p>
    <w:p w:rsidR="006F252B" w:rsidRDefault="002D63F3">
      <w:pPr>
        <w:spacing w:before="0" w:after="0"/>
        <w:jc w:val="both"/>
        <w:rPr>
          <w:b/>
          <w:sz w:val="20"/>
          <w:szCs w:val="20"/>
        </w:rPr>
      </w:pPr>
      <w:r>
        <w:pict>
          <v:rect id="_x0000_i1029" style="width:0;height:1.5pt" o:hralign="center" o:hrstd="t" o:hr="t" fillcolor="#a0a0a0" stroked="f"/>
        </w:pict>
      </w:r>
    </w:p>
    <w:p w:rsidR="006F252B" w:rsidRDefault="00257CF3">
      <w:pPr>
        <w:keepNext/>
        <w:pBdr>
          <w:bottom w:val="none" w:sz="0" w:space="0" w:color="000000"/>
        </w:pBdr>
        <w:spacing w:before="0" w:after="120" w:line="221" w:lineRule="auto"/>
        <w:jc w:val="center"/>
        <w:rPr>
          <w:b/>
          <w:sz w:val="22"/>
          <w:szCs w:val="22"/>
        </w:rPr>
      </w:pPr>
      <w:r>
        <w:rPr>
          <w:b/>
          <w:sz w:val="20"/>
          <w:szCs w:val="20"/>
        </w:rPr>
        <w:t xml:space="preserve">If taking exceptions, the relevant subsequent pages titled “Attachment Supplements” must be completed.    Attach additional pages as needed. </w:t>
      </w:r>
    </w:p>
    <w:p w:rsidR="006F252B" w:rsidRDefault="00257CF3">
      <w:pPr>
        <w:pBdr>
          <w:top w:val="none" w:sz="0" w:space="0" w:color="000000"/>
          <w:bottom w:val="none" w:sz="0" w:space="0" w:color="000000"/>
        </w:pBdr>
        <w:tabs>
          <w:tab w:val="left" w:pos="1440"/>
        </w:tabs>
        <w:spacing w:before="120" w:after="120" w:line="240" w:lineRule="auto"/>
        <w:jc w:val="center"/>
        <w:rPr>
          <w:b/>
          <w:smallCaps/>
        </w:rPr>
      </w:pPr>
      <w:r>
        <w:rPr>
          <w:b/>
          <w:smallCaps/>
        </w:rPr>
        <w:t>STATE WILL NOT CONSIDER ANY EXCEPTIONS UNLESS DESIGNATED ON THIS FORM.</w:t>
      </w:r>
    </w:p>
    <w:p w:rsidR="006F252B" w:rsidRDefault="00257CF3">
      <w:pPr>
        <w:pBdr>
          <w:top w:val="none" w:sz="0" w:space="0" w:color="000000"/>
          <w:bottom w:val="none" w:sz="0" w:space="0" w:color="000000"/>
        </w:pBdr>
        <w:tabs>
          <w:tab w:val="left" w:pos="1440"/>
        </w:tabs>
        <w:spacing w:before="120" w:after="120" w:line="240" w:lineRule="auto"/>
        <w:jc w:val="center"/>
        <w:rPr>
          <w:b/>
          <w:smallCaps/>
        </w:rPr>
      </w:pPr>
      <w:r>
        <w:rPr>
          <w:b/>
          <w:smallCaps/>
        </w:rPr>
        <w:t xml:space="preserve">READ ALL INSTRUCTIONS TO OFFERORS BEFORE TAKING ANY EXCEPTIONS. OFFERS WITH EXCEPTIONS MAY BE FOUND NOT SUSCEPTIBLE FOR AWARD UNDER A.A.C. R2-7-C311 OR RECEIVE LOWER SCORES DURING EVALUATION. </w:t>
      </w:r>
    </w:p>
    <w:p w:rsidR="006F252B" w:rsidRDefault="00257CF3">
      <w:pPr>
        <w:pBdr>
          <w:top w:val="none" w:sz="0" w:space="0" w:color="000000"/>
          <w:bottom w:val="none" w:sz="0" w:space="0" w:color="000000"/>
        </w:pBdr>
        <w:tabs>
          <w:tab w:val="left" w:pos="1440"/>
        </w:tabs>
        <w:spacing w:before="120" w:after="120" w:line="240" w:lineRule="auto"/>
        <w:jc w:val="center"/>
        <w:rPr>
          <w:b/>
          <w:smallCaps/>
        </w:rPr>
      </w:pPr>
      <w:r>
        <w:rPr>
          <w:b/>
          <w:smallCaps/>
        </w:rPr>
        <w:t>IF NEITHER BOX IS CHECKED UNDER ANY SECTION BELOW, THE OFFEROR’S RESPONSE TO THAT SECTION WILL BE CONSIDERED “YES” AND STATE WILL INTERPRET THE OFFER AS IF THERE WERE NO EXCEPTIONS TAKEN.</w:t>
      </w:r>
    </w:p>
    <w:p w:rsidR="006F252B" w:rsidRDefault="006F252B">
      <w:pPr>
        <w:pBdr>
          <w:top w:val="none" w:sz="0" w:space="0" w:color="000000"/>
          <w:bottom w:val="none" w:sz="0" w:space="0" w:color="000000"/>
        </w:pBdr>
        <w:tabs>
          <w:tab w:val="left" w:pos="1440"/>
        </w:tabs>
        <w:spacing w:before="120" w:after="120" w:line="240" w:lineRule="auto"/>
        <w:rPr>
          <w:b/>
          <w:smallCaps/>
          <w:sz w:val="10"/>
          <w:szCs w:val="10"/>
        </w:rPr>
      </w:pPr>
    </w:p>
    <w:tbl>
      <w:tblPr>
        <w:tblStyle w:val="affffffffff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6F252B">
        <w:trPr>
          <w:trHeight w:val="20"/>
        </w:trPr>
        <w:tc>
          <w:tcPr>
            <w:tcW w:w="10800" w:type="dxa"/>
            <w:gridSpan w:val="2"/>
            <w:shd w:val="clear" w:color="auto" w:fill="EFEFEF"/>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rPr>
                <w:b/>
                <w:smallCaps/>
                <w:sz w:val="19"/>
                <w:szCs w:val="19"/>
              </w:rPr>
            </w:pPr>
            <w:r>
              <w:rPr>
                <w:b/>
                <w:smallCaps/>
                <w:sz w:val="19"/>
                <w:szCs w:val="19"/>
              </w:rPr>
              <w:t>CONFORMANCE TO THE INSTRUCTIONS TO OFFERORS</w:t>
            </w:r>
          </w:p>
        </w:tc>
      </w:tr>
      <w:tr w:rsidR="006F252B">
        <w:trPr>
          <w:trHeight w:val="20"/>
        </w:trPr>
        <w:tc>
          <w:tcPr>
            <w:tcW w:w="10800" w:type="dxa"/>
            <w:gridSpan w:val="2"/>
            <w:shd w:val="clear" w:color="auto" w:fill="auto"/>
            <w:tcMar>
              <w:top w:w="100" w:type="dxa"/>
              <w:left w:w="100" w:type="dxa"/>
              <w:bottom w:w="100" w:type="dxa"/>
              <w:right w:w="100" w:type="dxa"/>
            </w:tcMar>
          </w:tcPr>
          <w:p w:rsidR="006F252B" w:rsidRDefault="00257CF3">
            <w:pPr>
              <w:spacing w:before="0" w:line="240" w:lineRule="auto"/>
              <w:rPr>
                <w:b/>
                <w:smallCaps/>
                <w:sz w:val="19"/>
                <w:szCs w:val="19"/>
              </w:rPr>
            </w:pPr>
            <w:r>
              <w:rPr>
                <w:b/>
                <w:sz w:val="19"/>
                <w:szCs w:val="19"/>
              </w:rPr>
              <w:t>Check one of the following:</w:t>
            </w:r>
          </w:p>
        </w:tc>
      </w:tr>
      <w:tr w:rsidR="006F252B">
        <w:trPr>
          <w:cantSplit/>
        </w:trPr>
        <w:tc>
          <w:tcPr>
            <w:tcW w:w="67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YES – Offeror acknowledges that it has read and understands the Special Instructions to Offerors and Uniform Instructions to Offerors of the Solicitation Documents and attests that its Offer complies with both.</w:t>
            </w:r>
          </w:p>
        </w:tc>
      </w:tr>
      <w:tr w:rsidR="006F252B">
        <w:trPr>
          <w:cantSplit/>
        </w:trPr>
        <w:tc>
          <w:tcPr>
            <w:tcW w:w="675" w:type="dxa"/>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 xml:space="preserve">NO – Offeror acknowledges that it has read and understands the Instructions to Offerors in the Solicitation Documents, and attests that its Offer complies with both EXCEPT FOR the exceptions listed in </w:t>
            </w:r>
            <w:r>
              <w:rPr>
                <w:b/>
                <w:sz w:val="19"/>
                <w:szCs w:val="19"/>
              </w:rPr>
              <w:t>Attachment Supplement – Conformance Statements - Exceptions to Instructions</w:t>
            </w:r>
            <w:r>
              <w:rPr>
                <w:sz w:val="19"/>
                <w:szCs w:val="19"/>
              </w:rPr>
              <w:t>.</w:t>
            </w:r>
          </w:p>
        </w:tc>
      </w:tr>
    </w:tbl>
    <w:p w:rsidR="006F252B" w:rsidRDefault="006F252B">
      <w:pPr>
        <w:pBdr>
          <w:top w:val="none" w:sz="0" w:space="0" w:color="000000"/>
          <w:bottom w:val="none" w:sz="0" w:space="0" w:color="000000"/>
        </w:pBdr>
        <w:tabs>
          <w:tab w:val="left" w:pos="1440"/>
        </w:tabs>
        <w:spacing w:before="120" w:after="120" w:line="240" w:lineRule="auto"/>
        <w:rPr>
          <w:b/>
          <w:smallCaps/>
          <w:sz w:val="19"/>
          <w:szCs w:val="19"/>
        </w:rPr>
      </w:pPr>
    </w:p>
    <w:tbl>
      <w:tblPr>
        <w:tblStyle w:val="afffffffff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6F252B">
        <w:trPr>
          <w:cantSplit/>
        </w:trPr>
        <w:tc>
          <w:tcPr>
            <w:tcW w:w="10800" w:type="dxa"/>
            <w:gridSpan w:val="2"/>
            <w:shd w:val="clear" w:color="auto" w:fill="EFEFEF"/>
            <w:tcMar>
              <w:top w:w="100" w:type="dxa"/>
              <w:left w:w="100" w:type="dxa"/>
              <w:bottom w:w="100" w:type="dxa"/>
              <w:right w:w="100" w:type="dxa"/>
            </w:tcMar>
          </w:tcPr>
          <w:p w:rsidR="006F252B" w:rsidRDefault="00257CF3">
            <w:pPr>
              <w:widowControl w:val="0"/>
              <w:spacing w:before="0" w:line="240" w:lineRule="auto"/>
              <w:rPr>
                <w:b/>
                <w:smallCaps/>
                <w:sz w:val="19"/>
                <w:szCs w:val="19"/>
              </w:rPr>
            </w:pPr>
            <w:r>
              <w:rPr>
                <w:b/>
                <w:smallCaps/>
                <w:sz w:val="19"/>
                <w:szCs w:val="19"/>
              </w:rPr>
              <w:t>CONFORMANCE TO THE SCOPE OF WORK</w:t>
            </w:r>
          </w:p>
        </w:tc>
      </w:tr>
      <w:tr w:rsidR="006F252B">
        <w:trPr>
          <w:trHeight w:val="20"/>
        </w:trPr>
        <w:tc>
          <w:tcPr>
            <w:tcW w:w="10800" w:type="dxa"/>
            <w:gridSpan w:val="2"/>
            <w:shd w:val="clear" w:color="auto" w:fill="auto"/>
            <w:tcMar>
              <w:top w:w="100" w:type="dxa"/>
              <w:left w:w="100" w:type="dxa"/>
              <w:bottom w:w="100" w:type="dxa"/>
              <w:right w:w="100" w:type="dxa"/>
            </w:tcMar>
          </w:tcPr>
          <w:p w:rsidR="006F252B" w:rsidRDefault="00257CF3">
            <w:pPr>
              <w:spacing w:before="0" w:line="240" w:lineRule="auto"/>
              <w:rPr>
                <w:b/>
                <w:smallCaps/>
                <w:sz w:val="19"/>
                <w:szCs w:val="19"/>
              </w:rPr>
            </w:pPr>
            <w:r>
              <w:rPr>
                <w:b/>
                <w:sz w:val="19"/>
                <w:szCs w:val="19"/>
              </w:rPr>
              <w:t>Check one of the following:</w:t>
            </w:r>
          </w:p>
        </w:tc>
      </w:tr>
      <w:tr w:rsidR="006F252B">
        <w:trPr>
          <w:trHeight w:val="20"/>
        </w:trPr>
        <w:tc>
          <w:tcPr>
            <w:tcW w:w="67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YES – Offeror acknowledges that it has read and understands the Scope of Work Document and the Pricing Document of the Solicitation Documents and attests that its Offer complies with both.</w:t>
            </w:r>
          </w:p>
        </w:tc>
      </w:tr>
      <w:tr w:rsidR="006F252B">
        <w:trPr>
          <w:cantSplit/>
        </w:trPr>
        <w:tc>
          <w:tcPr>
            <w:tcW w:w="67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 xml:space="preserve">NO – Offeror acknowledges that it has read and understands the Scope of Work Document and the Pricing  Document of the Solicitation Documents and attests that its Offer complies with both EXCEPT FOR the exceptions listed in </w:t>
            </w:r>
            <w:r>
              <w:rPr>
                <w:b/>
                <w:sz w:val="19"/>
                <w:szCs w:val="19"/>
              </w:rPr>
              <w:t>Attachment Supplement – Conformance Statements - Exceptions to Scope of Work</w:t>
            </w:r>
            <w:r>
              <w:rPr>
                <w:sz w:val="19"/>
                <w:szCs w:val="19"/>
              </w:rPr>
              <w:t>.</w:t>
            </w:r>
          </w:p>
        </w:tc>
      </w:tr>
    </w:tbl>
    <w:p w:rsidR="006F252B" w:rsidRDefault="006F252B">
      <w:pPr>
        <w:pBdr>
          <w:top w:val="none" w:sz="0" w:space="0" w:color="000000"/>
          <w:bottom w:val="none" w:sz="0" w:space="0" w:color="000000"/>
        </w:pBdr>
        <w:tabs>
          <w:tab w:val="left" w:pos="1440"/>
        </w:tabs>
        <w:spacing w:before="120" w:after="120" w:line="240" w:lineRule="auto"/>
        <w:rPr>
          <w:b/>
          <w:smallCaps/>
          <w:sz w:val="19"/>
          <w:szCs w:val="19"/>
        </w:rPr>
      </w:pPr>
    </w:p>
    <w:tbl>
      <w:tblPr>
        <w:tblStyle w:val="affffffffff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6F252B">
        <w:trPr>
          <w:cantSplit/>
        </w:trPr>
        <w:tc>
          <w:tcPr>
            <w:tcW w:w="10800" w:type="dxa"/>
            <w:gridSpan w:val="2"/>
            <w:shd w:val="clear" w:color="auto" w:fill="EFEFEF"/>
            <w:tcMar>
              <w:top w:w="100" w:type="dxa"/>
              <w:left w:w="100" w:type="dxa"/>
              <w:bottom w:w="100" w:type="dxa"/>
              <w:right w:w="100" w:type="dxa"/>
            </w:tcMar>
          </w:tcPr>
          <w:p w:rsidR="006F252B" w:rsidRDefault="00257CF3">
            <w:pPr>
              <w:widowControl w:val="0"/>
              <w:spacing w:before="0" w:line="240" w:lineRule="auto"/>
              <w:rPr>
                <w:b/>
                <w:smallCaps/>
                <w:sz w:val="19"/>
                <w:szCs w:val="19"/>
              </w:rPr>
            </w:pPr>
            <w:r>
              <w:rPr>
                <w:b/>
                <w:smallCaps/>
                <w:sz w:val="19"/>
                <w:szCs w:val="19"/>
              </w:rPr>
              <w:t>CONFORMANCE TO THE CONTRACT TERMS AND CONDITIONS</w:t>
            </w:r>
          </w:p>
        </w:tc>
      </w:tr>
      <w:tr w:rsidR="006F252B">
        <w:trPr>
          <w:cantSplit/>
        </w:trPr>
        <w:tc>
          <w:tcPr>
            <w:tcW w:w="10800" w:type="dxa"/>
            <w:gridSpan w:val="2"/>
            <w:shd w:val="clear" w:color="auto" w:fill="auto"/>
            <w:tcMar>
              <w:top w:w="100" w:type="dxa"/>
              <w:left w:w="100" w:type="dxa"/>
              <w:bottom w:w="100" w:type="dxa"/>
              <w:right w:w="100" w:type="dxa"/>
            </w:tcMar>
          </w:tcPr>
          <w:p w:rsidR="006F252B" w:rsidRDefault="00257CF3">
            <w:pPr>
              <w:spacing w:before="0" w:line="240" w:lineRule="auto"/>
              <w:rPr>
                <w:b/>
                <w:smallCaps/>
                <w:sz w:val="19"/>
                <w:szCs w:val="19"/>
              </w:rPr>
            </w:pPr>
            <w:r>
              <w:rPr>
                <w:b/>
                <w:sz w:val="19"/>
                <w:szCs w:val="19"/>
              </w:rPr>
              <w:t>Check one of the following:</w:t>
            </w:r>
          </w:p>
        </w:tc>
      </w:tr>
      <w:tr w:rsidR="006F252B">
        <w:trPr>
          <w:cantSplit/>
        </w:trPr>
        <w:tc>
          <w:tcPr>
            <w:tcW w:w="67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YES – Offeror acknowledges that it has read and understands the Special Terms and Conditions and the Uniform Terms and Conditions, along with their respective Exhibits and Appendices of the Solicitation Documents and attests that its Offer complies with all.</w:t>
            </w:r>
          </w:p>
        </w:tc>
      </w:tr>
      <w:tr w:rsidR="006F252B">
        <w:trPr>
          <w:cantSplit/>
        </w:trPr>
        <w:tc>
          <w:tcPr>
            <w:tcW w:w="67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 xml:space="preserve">NO – Offeror acknowledges that it has read and understands the Special Terms and Conditions and the Uniform Terms and Conditions, along with their respective Exhibits and Appendices of the Solicitation Documents and attests that its Offer complies with all EXCEPT FOR the exceptions listed in </w:t>
            </w:r>
            <w:r>
              <w:rPr>
                <w:b/>
                <w:sz w:val="19"/>
                <w:szCs w:val="19"/>
              </w:rPr>
              <w:t>Attachment Supplement – Conformance Statements - Exceptions to Contract Terms and Conditions</w:t>
            </w:r>
            <w:r>
              <w:rPr>
                <w:sz w:val="19"/>
                <w:szCs w:val="19"/>
              </w:rPr>
              <w:t>.</w:t>
            </w:r>
          </w:p>
        </w:tc>
      </w:tr>
    </w:tbl>
    <w:p w:rsidR="006F252B" w:rsidRDefault="006F252B">
      <w:pPr>
        <w:spacing w:before="0" w:after="0" w:line="240" w:lineRule="auto"/>
        <w:rPr>
          <w:sz w:val="10"/>
          <w:szCs w:val="10"/>
        </w:rPr>
      </w:pPr>
    </w:p>
    <w:tbl>
      <w:tblPr>
        <w:tblStyle w:val="afffffffffffffff2"/>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5055"/>
      </w:tblGrid>
      <w:tr w:rsidR="006F252B">
        <w:trPr>
          <w:cantSplit/>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cantSplit/>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bl>
    <w:p w:rsidR="006F252B" w:rsidRDefault="00257CF3">
      <w:pPr>
        <w:spacing w:before="0" w:after="0" w:line="240" w:lineRule="auto"/>
        <w:rPr>
          <w:sz w:val="22"/>
          <w:szCs w:val="22"/>
        </w:rPr>
      </w:pPr>
      <w:r>
        <w:br w:type="page"/>
      </w:r>
    </w:p>
    <w:p w:rsidR="006F252B" w:rsidRDefault="00257CF3">
      <w:pPr>
        <w:spacing w:before="0" w:after="0" w:line="240" w:lineRule="auto"/>
        <w:jc w:val="center"/>
        <w:rPr>
          <w:b/>
          <w:sz w:val="24"/>
          <w:szCs w:val="24"/>
        </w:rPr>
      </w:pPr>
      <w:bookmarkStart w:id="1" w:name="_heading=h.ijjdwgqykc0t" w:colFirst="0" w:colLast="0"/>
      <w:bookmarkEnd w:id="1"/>
      <w:r>
        <w:rPr>
          <w:b/>
          <w:sz w:val="24"/>
          <w:szCs w:val="24"/>
          <w:highlight w:val="yellow"/>
        </w:rPr>
        <w:lastRenderedPageBreak/>
        <w:t xml:space="preserve">Attachment Supplement </w:t>
      </w:r>
      <w:r>
        <w:rPr>
          <w:b/>
          <w:color w:val="FF0000"/>
          <w:sz w:val="24"/>
          <w:szCs w:val="24"/>
          <w:highlight w:val="yellow"/>
        </w:rPr>
        <w:t>XX</w:t>
      </w:r>
      <w:r>
        <w:rPr>
          <w:b/>
          <w:sz w:val="24"/>
          <w:szCs w:val="24"/>
          <w:highlight w:val="yellow"/>
        </w:rPr>
        <w:t xml:space="preserve"> – Conformance Statements - Exceptions to Instructions</w:t>
      </w:r>
    </w:p>
    <w:p w:rsidR="006F252B" w:rsidRDefault="002D63F3">
      <w:pPr>
        <w:spacing w:before="0" w:after="0"/>
        <w:jc w:val="both"/>
        <w:rPr>
          <w:b/>
          <w:sz w:val="24"/>
          <w:szCs w:val="24"/>
        </w:rPr>
      </w:pPr>
      <w:r>
        <w:pict>
          <v:rect id="_x0000_i1030" style="width:0;height:1.5pt" o:hralign="center" o:hrstd="t" o:hr="t" fillcolor="#a0a0a0" stroked="f"/>
        </w:pict>
      </w:r>
    </w:p>
    <w:p w:rsidR="006F252B" w:rsidRDefault="006F252B">
      <w:pPr>
        <w:spacing w:before="0" w:after="0"/>
        <w:jc w:val="both"/>
        <w:rPr>
          <w:b/>
        </w:rPr>
      </w:pPr>
    </w:p>
    <w:tbl>
      <w:tblPr>
        <w:tblStyle w:val="afffffffffffffff3"/>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4845"/>
        <w:gridCol w:w="4845"/>
      </w:tblGrid>
      <w:tr w:rsidR="006F252B">
        <w:trPr>
          <w:trHeight w:val="20"/>
        </w:trPr>
        <w:tc>
          <w:tcPr>
            <w:tcW w:w="1125" w:type="dxa"/>
            <w:shd w:val="clear" w:color="auto" w:fill="EFEFEF"/>
            <w:tcMar>
              <w:top w:w="100" w:type="dxa"/>
              <w:left w:w="100" w:type="dxa"/>
              <w:bottom w:w="100" w:type="dxa"/>
              <w:right w:w="100" w:type="dxa"/>
            </w:tcMar>
            <w:vAlign w:val="bottom"/>
          </w:tcPr>
          <w:p w:rsidR="006F252B" w:rsidRPr="008A32CC" w:rsidRDefault="00257CF3">
            <w:pPr>
              <w:widowControl w:val="0"/>
              <w:pBdr>
                <w:top w:val="nil"/>
                <w:left w:val="nil"/>
                <w:bottom w:val="nil"/>
                <w:right w:val="nil"/>
                <w:between w:val="nil"/>
              </w:pBdr>
              <w:spacing w:before="0" w:line="240" w:lineRule="auto"/>
              <w:jc w:val="center"/>
              <w:rPr>
                <w:b/>
                <w:sz w:val="18"/>
                <w:szCs w:val="18"/>
              </w:rPr>
            </w:pPr>
            <w:r w:rsidRPr="008A32CC">
              <w:rPr>
                <w:b/>
                <w:sz w:val="18"/>
                <w:szCs w:val="18"/>
              </w:rPr>
              <w:t>Article / paragraph or exhibit reference</w:t>
            </w:r>
          </w:p>
        </w:tc>
        <w:tc>
          <w:tcPr>
            <w:tcW w:w="4845" w:type="dxa"/>
            <w:shd w:val="clear" w:color="auto" w:fill="EFEFEF"/>
            <w:tcMar>
              <w:top w:w="100" w:type="dxa"/>
              <w:left w:w="100" w:type="dxa"/>
              <w:bottom w:w="100" w:type="dxa"/>
              <w:right w:w="100" w:type="dxa"/>
            </w:tcMar>
            <w:vAlign w:val="bottom"/>
          </w:tcPr>
          <w:p w:rsidR="006F252B" w:rsidRDefault="00257CF3">
            <w:pPr>
              <w:widowControl w:val="0"/>
              <w:pBdr>
                <w:top w:val="nil"/>
                <w:left w:val="nil"/>
                <w:bottom w:val="nil"/>
                <w:right w:val="nil"/>
                <w:between w:val="nil"/>
              </w:pBdr>
              <w:spacing w:before="0" w:line="240" w:lineRule="auto"/>
              <w:jc w:val="center"/>
              <w:rPr>
                <w:b/>
              </w:rPr>
            </w:pPr>
            <w:r>
              <w:rPr>
                <w:b/>
              </w:rPr>
              <w:t>RFP language (Copy and paste from Solicitation)</w:t>
            </w:r>
          </w:p>
        </w:tc>
        <w:tc>
          <w:tcPr>
            <w:tcW w:w="4845" w:type="dxa"/>
            <w:shd w:val="clear" w:color="auto" w:fill="EFEFEF"/>
            <w:tcMar>
              <w:top w:w="100" w:type="dxa"/>
              <w:left w:w="100" w:type="dxa"/>
              <w:bottom w:w="100" w:type="dxa"/>
              <w:right w:w="100" w:type="dxa"/>
            </w:tcMar>
            <w:vAlign w:val="bottom"/>
          </w:tcPr>
          <w:p w:rsidR="006F252B" w:rsidRDefault="00257CF3">
            <w:pPr>
              <w:widowControl w:val="0"/>
              <w:pBdr>
                <w:top w:val="nil"/>
                <w:left w:val="nil"/>
                <w:bottom w:val="nil"/>
                <w:right w:val="nil"/>
                <w:between w:val="nil"/>
              </w:pBdr>
              <w:spacing w:before="0" w:line="240" w:lineRule="auto"/>
              <w:jc w:val="center"/>
              <w:rPr>
                <w:b/>
              </w:rPr>
            </w:pPr>
            <w:r>
              <w:rPr>
                <w:b/>
              </w:rPr>
              <w:t>Alternate language and Rationale</w:t>
            </w:r>
          </w:p>
        </w:tc>
      </w:tr>
      <w:tr w:rsidR="006F252B">
        <w:trPr>
          <w:trHeight w:val="20"/>
        </w:trPr>
        <w:tc>
          <w:tcPr>
            <w:tcW w:w="10815" w:type="dxa"/>
            <w:gridSpan w:val="3"/>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rPr>
                <w:b/>
                <w:sz w:val="20"/>
                <w:szCs w:val="20"/>
              </w:rPr>
            </w:pPr>
            <w:r>
              <w:rPr>
                <w:b/>
                <w:sz w:val="20"/>
                <w:szCs w:val="20"/>
              </w:rPr>
              <w:t>Special Instructions to Offerors</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0815" w:type="dxa"/>
            <w:gridSpan w:val="3"/>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rPr>
                <w:b/>
                <w:sz w:val="20"/>
                <w:szCs w:val="20"/>
              </w:rPr>
            </w:pPr>
            <w:r>
              <w:rPr>
                <w:b/>
                <w:sz w:val="20"/>
                <w:szCs w:val="20"/>
              </w:rPr>
              <w:t>Uniform Instructions to Offerors</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bl>
    <w:p w:rsidR="006F252B" w:rsidRDefault="006F252B">
      <w:pPr>
        <w:spacing w:before="0" w:after="0"/>
        <w:jc w:val="both"/>
        <w:rPr>
          <w:b/>
        </w:rPr>
      </w:pPr>
    </w:p>
    <w:p w:rsidR="006F252B" w:rsidRDefault="006F252B">
      <w:pPr>
        <w:spacing w:before="0" w:after="0" w:line="240" w:lineRule="auto"/>
        <w:rPr>
          <w:sz w:val="10"/>
          <w:szCs w:val="10"/>
        </w:rPr>
      </w:pPr>
    </w:p>
    <w:tbl>
      <w:tblPr>
        <w:tblStyle w:val="afffffffffffffff4"/>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5055"/>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bl>
    <w:p w:rsidR="006F252B" w:rsidRDefault="006F252B">
      <w:pPr>
        <w:tabs>
          <w:tab w:val="left" w:pos="1440"/>
        </w:tabs>
        <w:spacing w:before="0" w:after="0" w:line="240" w:lineRule="auto"/>
        <w:rPr>
          <w:b/>
          <w:sz w:val="24"/>
          <w:szCs w:val="24"/>
        </w:rPr>
      </w:pPr>
    </w:p>
    <w:p w:rsidR="006F252B" w:rsidRDefault="006F252B">
      <w:pPr>
        <w:spacing w:before="0" w:after="0" w:line="240" w:lineRule="auto"/>
        <w:rPr>
          <w:sz w:val="10"/>
          <w:szCs w:val="10"/>
        </w:rPr>
      </w:pPr>
    </w:p>
    <w:p w:rsidR="006F252B" w:rsidRDefault="00257CF3">
      <w:pPr>
        <w:spacing w:before="0" w:after="0" w:line="240" w:lineRule="auto"/>
        <w:jc w:val="center"/>
        <w:rPr>
          <w:b/>
          <w:sz w:val="24"/>
          <w:szCs w:val="24"/>
          <w:highlight w:val="yellow"/>
        </w:rPr>
      </w:pPr>
      <w:r>
        <w:br w:type="page"/>
      </w:r>
    </w:p>
    <w:p w:rsidR="006F252B" w:rsidRDefault="00257CF3">
      <w:pPr>
        <w:spacing w:before="0" w:after="0" w:line="240" w:lineRule="auto"/>
        <w:jc w:val="center"/>
        <w:rPr>
          <w:b/>
          <w:sz w:val="24"/>
          <w:szCs w:val="24"/>
          <w:highlight w:val="yellow"/>
        </w:rPr>
      </w:pPr>
      <w:bookmarkStart w:id="2" w:name="_heading=h.3ufjd1rl43o5" w:colFirst="0" w:colLast="0"/>
      <w:bookmarkEnd w:id="2"/>
      <w:r>
        <w:rPr>
          <w:b/>
          <w:sz w:val="24"/>
          <w:szCs w:val="24"/>
          <w:highlight w:val="yellow"/>
        </w:rPr>
        <w:lastRenderedPageBreak/>
        <w:t xml:space="preserve">Attachment Supplement </w:t>
      </w:r>
      <w:r>
        <w:rPr>
          <w:b/>
          <w:color w:val="FF0000"/>
          <w:sz w:val="24"/>
          <w:szCs w:val="24"/>
          <w:highlight w:val="yellow"/>
        </w:rPr>
        <w:t>XX</w:t>
      </w:r>
      <w:r>
        <w:rPr>
          <w:b/>
          <w:sz w:val="24"/>
          <w:szCs w:val="24"/>
          <w:highlight w:val="yellow"/>
        </w:rPr>
        <w:t xml:space="preserve"> – Conformance Statements - </w:t>
      </w:r>
    </w:p>
    <w:p w:rsidR="006F252B" w:rsidRDefault="00257CF3">
      <w:pPr>
        <w:spacing w:before="0" w:after="0" w:line="240" w:lineRule="auto"/>
        <w:jc w:val="center"/>
        <w:rPr>
          <w:b/>
          <w:sz w:val="24"/>
          <w:szCs w:val="24"/>
        </w:rPr>
      </w:pPr>
      <w:bookmarkStart w:id="3" w:name="_heading=h.n8vpnqanvkh7" w:colFirst="0" w:colLast="0"/>
      <w:bookmarkEnd w:id="3"/>
      <w:r>
        <w:rPr>
          <w:b/>
          <w:sz w:val="24"/>
          <w:szCs w:val="24"/>
          <w:highlight w:val="yellow"/>
        </w:rPr>
        <w:t>Exceptions to Scope of Work</w:t>
      </w:r>
    </w:p>
    <w:p w:rsidR="006F252B" w:rsidRDefault="002D63F3">
      <w:pPr>
        <w:spacing w:before="0" w:after="0"/>
        <w:jc w:val="both"/>
        <w:rPr>
          <w:b/>
          <w:sz w:val="24"/>
          <w:szCs w:val="24"/>
        </w:rPr>
      </w:pPr>
      <w:r>
        <w:pict>
          <v:rect id="_x0000_i1031" style="width:0;height:1.5pt" o:hralign="center" o:hrstd="t" o:hr="t" fillcolor="#a0a0a0" stroked="f"/>
        </w:pict>
      </w:r>
    </w:p>
    <w:p w:rsidR="006F252B" w:rsidRDefault="006F252B">
      <w:pPr>
        <w:spacing w:before="0" w:after="0"/>
        <w:jc w:val="both"/>
        <w:rPr>
          <w:b/>
        </w:rPr>
      </w:pPr>
    </w:p>
    <w:tbl>
      <w:tblPr>
        <w:tblStyle w:val="afffffffffffffff5"/>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4845"/>
        <w:gridCol w:w="4845"/>
      </w:tblGrid>
      <w:tr w:rsidR="006F252B">
        <w:trPr>
          <w:trHeight w:val="20"/>
        </w:trPr>
        <w:tc>
          <w:tcPr>
            <w:tcW w:w="1125" w:type="dxa"/>
            <w:shd w:val="clear" w:color="auto" w:fill="EFEFEF"/>
            <w:tcMar>
              <w:top w:w="100" w:type="dxa"/>
              <w:left w:w="100" w:type="dxa"/>
              <w:bottom w:w="100" w:type="dxa"/>
              <w:right w:w="100" w:type="dxa"/>
            </w:tcMar>
            <w:vAlign w:val="bottom"/>
          </w:tcPr>
          <w:p w:rsidR="006F252B" w:rsidRPr="008A32CC" w:rsidRDefault="00257CF3">
            <w:pPr>
              <w:widowControl w:val="0"/>
              <w:spacing w:before="0" w:line="240" w:lineRule="auto"/>
              <w:jc w:val="center"/>
              <w:rPr>
                <w:b/>
                <w:sz w:val="18"/>
                <w:szCs w:val="18"/>
              </w:rPr>
            </w:pPr>
            <w:r w:rsidRPr="008A32CC">
              <w:rPr>
                <w:b/>
                <w:sz w:val="18"/>
                <w:szCs w:val="18"/>
              </w:rPr>
              <w:t>Article / paragraph or exhibit reference</w:t>
            </w:r>
          </w:p>
        </w:tc>
        <w:tc>
          <w:tcPr>
            <w:tcW w:w="4845" w:type="dxa"/>
            <w:shd w:val="clear" w:color="auto" w:fill="EFEFEF"/>
            <w:tcMar>
              <w:top w:w="100" w:type="dxa"/>
              <w:left w:w="100" w:type="dxa"/>
              <w:bottom w:w="100" w:type="dxa"/>
              <w:right w:w="100" w:type="dxa"/>
            </w:tcMar>
            <w:vAlign w:val="bottom"/>
          </w:tcPr>
          <w:p w:rsidR="006F252B" w:rsidRDefault="00257CF3">
            <w:pPr>
              <w:widowControl w:val="0"/>
              <w:spacing w:before="0" w:line="240" w:lineRule="auto"/>
              <w:jc w:val="center"/>
              <w:rPr>
                <w:b/>
              </w:rPr>
            </w:pPr>
            <w:r>
              <w:rPr>
                <w:b/>
              </w:rPr>
              <w:t>RFP language (Copy and paste from Solicitation)</w:t>
            </w:r>
          </w:p>
        </w:tc>
        <w:tc>
          <w:tcPr>
            <w:tcW w:w="4845" w:type="dxa"/>
            <w:shd w:val="clear" w:color="auto" w:fill="EFEFEF"/>
            <w:tcMar>
              <w:top w:w="100" w:type="dxa"/>
              <w:left w:w="100" w:type="dxa"/>
              <w:bottom w:w="100" w:type="dxa"/>
              <w:right w:w="100" w:type="dxa"/>
            </w:tcMar>
            <w:vAlign w:val="bottom"/>
          </w:tcPr>
          <w:p w:rsidR="006F252B" w:rsidRDefault="00257CF3">
            <w:pPr>
              <w:widowControl w:val="0"/>
              <w:spacing w:before="0" w:line="240" w:lineRule="auto"/>
              <w:jc w:val="center"/>
              <w:rPr>
                <w:b/>
              </w:rPr>
            </w:pPr>
            <w:r>
              <w:rPr>
                <w:b/>
              </w:rPr>
              <w:t>Alternate language and Rationale</w:t>
            </w:r>
          </w:p>
        </w:tc>
      </w:tr>
      <w:tr w:rsidR="006F252B">
        <w:trPr>
          <w:trHeight w:val="20"/>
        </w:trPr>
        <w:tc>
          <w:tcPr>
            <w:tcW w:w="10815" w:type="dxa"/>
            <w:gridSpan w:val="3"/>
            <w:shd w:val="clear" w:color="auto" w:fill="EBFFEB"/>
            <w:tcMar>
              <w:top w:w="100" w:type="dxa"/>
              <w:left w:w="100" w:type="dxa"/>
              <w:bottom w:w="100" w:type="dxa"/>
              <w:right w:w="100" w:type="dxa"/>
            </w:tcMar>
          </w:tcPr>
          <w:p w:rsidR="006F252B" w:rsidRDefault="00257CF3">
            <w:pPr>
              <w:widowControl w:val="0"/>
              <w:spacing w:before="0" w:line="240" w:lineRule="auto"/>
              <w:rPr>
                <w:b/>
                <w:sz w:val="20"/>
                <w:szCs w:val="20"/>
              </w:rPr>
            </w:pPr>
            <w:r>
              <w:rPr>
                <w:b/>
                <w:sz w:val="20"/>
                <w:szCs w:val="20"/>
              </w:rPr>
              <w:t>Scope of Work</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bl>
    <w:p w:rsidR="006F252B" w:rsidRDefault="006F252B">
      <w:pPr>
        <w:spacing w:before="0" w:after="0"/>
        <w:jc w:val="both"/>
        <w:rPr>
          <w:b/>
        </w:rPr>
      </w:pPr>
    </w:p>
    <w:p w:rsidR="006F252B" w:rsidRDefault="006F252B">
      <w:pPr>
        <w:spacing w:before="0" w:after="0" w:line="240" w:lineRule="auto"/>
        <w:rPr>
          <w:sz w:val="10"/>
          <w:szCs w:val="10"/>
        </w:rPr>
      </w:pPr>
    </w:p>
    <w:tbl>
      <w:tblPr>
        <w:tblStyle w:val="afffffffffffffff6"/>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5055"/>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bl>
    <w:p w:rsidR="006F252B" w:rsidRDefault="006F252B">
      <w:pPr>
        <w:tabs>
          <w:tab w:val="left" w:pos="1440"/>
        </w:tabs>
        <w:spacing w:before="0" w:after="0" w:line="240" w:lineRule="auto"/>
        <w:rPr>
          <w:b/>
          <w:sz w:val="24"/>
          <w:szCs w:val="24"/>
        </w:rPr>
      </w:pPr>
    </w:p>
    <w:p w:rsidR="006F252B" w:rsidRDefault="006F252B">
      <w:pPr>
        <w:spacing w:before="0" w:after="0" w:line="240" w:lineRule="auto"/>
        <w:rPr>
          <w:sz w:val="10"/>
          <w:szCs w:val="10"/>
        </w:rPr>
      </w:pPr>
    </w:p>
    <w:p w:rsidR="006F252B" w:rsidRDefault="006F252B">
      <w:pPr>
        <w:spacing w:before="60" w:after="60"/>
        <w:jc w:val="center"/>
      </w:pPr>
    </w:p>
    <w:p w:rsidR="006F252B" w:rsidRDefault="00257CF3">
      <w:pPr>
        <w:pBdr>
          <w:bottom w:val="single" w:sz="4" w:space="1" w:color="000000"/>
        </w:pBdr>
        <w:spacing w:before="60" w:after="60"/>
        <w:jc w:val="center"/>
        <w:rPr>
          <w:sz w:val="22"/>
          <w:szCs w:val="22"/>
          <w:highlight w:val="yellow"/>
        </w:rPr>
      </w:pPr>
      <w:r>
        <w:br w:type="page"/>
      </w:r>
    </w:p>
    <w:p w:rsidR="006F252B" w:rsidRDefault="00257CF3">
      <w:pPr>
        <w:pBdr>
          <w:bottom w:val="single" w:sz="4" w:space="1" w:color="000000"/>
        </w:pBdr>
        <w:spacing w:before="60" w:after="60"/>
        <w:jc w:val="center"/>
        <w:rPr>
          <w:b/>
          <w:sz w:val="24"/>
          <w:szCs w:val="24"/>
          <w:highlight w:val="yellow"/>
        </w:rPr>
      </w:pPr>
      <w:r>
        <w:rPr>
          <w:b/>
          <w:sz w:val="24"/>
          <w:szCs w:val="24"/>
          <w:highlight w:val="yellow"/>
        </w:rPr>
        <w:lastRenderedPageBreak/>
        <w:t xml:space="preserve">Attachment Supplement </w:t>
      </w:r>
      <w:r>
        <w:rPr>
          <w:b/>
          <w:color w:val="FF0000"/>
          <w:sz w:val="24"/>
          <w:szCs w:val="24"/>
          <w:highlight w:val="yellow"/>
        </w:rPr>
        <w:t>XX</w:t>
      </w:r>
      <w:r>
        <w:rPr>
          <w:b/>
          <w:sz w:val="24"/>
          <w:szCs w:val="24"/>
          <w:highlight w:val="yellow"/>
        </w:rPr>
        <w:t xml:space="preserve"> – Conformance Statements - Exceptions to </w:t>
      </w:r>
    </w:p>
    <w:p w:rsidR="006F252B" w:rsidRDefault="00257CF3">
      <w:pPr>
        <w:pBdr>
          <w:bottom w:val="single" w:sz="4" w:space="1" w:color="000000"/>
        </w:pBdr>
        <w:spacing w:before="60" w:after="60"/>
        <w:jc w:val="center"/>
        <w:rPr>
          <w:highlight w:val="yellow"/>
        </w:rPr>
      </w:pPr>
      <w:r>
        <w:rPr>
          <w:b/>
          <w:sz w:val="24"/>
          <w:szCs w:val="24"/>
          <w:highlight w:val="yellow"/>
        </w:rPr>
        <w:t>Contract Terms and Conditions</w:t>
      </w:r>
    </w:p>
    <w:p w:rsidR="006F252B" w:rsidRDefault="006F252B">
      <w:pPr>
        <w:pBdr>
          <w:bottom w:val="single" w:sz="4" w:space="1" w:color="000000"/>
        </w:pBdr>
        <w:spacing w:before="60" w:after="60"/>
        <w:jc w:val="center"/>
        <w:rPr>
          <w:sz w:val="10"/>
          <w:szCs w:val="10"/>
        </w:rPr>
      </w:pPr>
    </w:p>
    <w:p w:rsidR="006F252B" w:rsidRDefault="006F252B">
      <w:pPr>
        <w:spacing w:before="0" w:after="0"/>
        <w:jc w:val="both"/>
        <w:rPr>
          <w:b/>
        </w:rPr>
      </w:pPr>
    </w:p>
    <w:tbl>
      <w:tblPr>
        <w:tblStyle w:val="afffffffffffffff7"/>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4845"/>
        <w:gridCol w:w="4845"/>
      </w:tblGrid>
      <w:tr w:rsidR="006F252B">
        <w:trPr>
          <w:trHeight w:val="20"/>
        </w:trPr>
        <w:tc>
          <w:tcPr>
            <w:tcW w:w="1125" w:type="dxa"/>
            <w:shd w:val="clear" w:color="auto" w:fill="EFEFEF"/>
            <w:tcMar>
              <w:top w:w="100" w:type="dxa"/>
              <w:left w:w="100" w:type="dxa"/>
              <w:bottom w:w="100" w:type="dxa"/>
              <w:right w:w="100" w:type="dxa"/>
            </w:tcMar>
            <w:vAlign w:val="bottom"/>
          </w:tcPr>
          <w:p w:rsidR="006F252B" w:rsidRPr="008A32CC" w:rsidRDefault="00257CF3">
            <w:pPr>
              <w:widowControl w:val="0"/>
              <w:spacing w:before="0" w:line="240" w:lineRule="auto"/>
              <w:jc w:val="center"/>
              <w:rPr>
                <w:b/>
                <w:sz w:val="18"/>
                <w:szCs w:val="18"/>
              </w:rPr>
            </w:pPr>
            <w:r w:rsidRPr="008A32CC">
              <w:rPr>
                <w:b/>
                <w:sz w:val="18"/>
                <w:szCs w:val="18"/>
              </w:rPr>
              <w:t>Article / paragraph or exhibit reference</w:t>
            </w:r>
          </w:p>
        </w:tc>
        <w:tc>
          <w:tcPr>
            <w:tcW w:w="4845" w:type="dxa"/>
            <w:shd w:val="clear" w:color="auto" w:fill="EFEFEF"/>
            <w:tcMar>
              <w:top w:w="100" w:type="dxa"/>
              <w:left w:w="100" w:type="dxa"/>
              <w:bottom w:w="100" w:type="dxa"/>
              <w:right w:w="100" w:type="dxa"/>
            </w:tcMar>
            <w:vAlign w:val="bottom"/>
          </w:tcPr>
          <w:p w:rsidR="006F252B" w:rsidRDefault="00257CF3">
            <w:pPr>
              <w:widowControl w:val="0"/>
              <w:spacing w:before="0" w:line="240" w:lineRule="auto"/>
              <w:jc w:val="center"/>
              <w:rPr>
                <w:b/>
              </w:rPr>
            </w:pPr>
            <w:r>
              <w:rPr>
                <w:b/>
              </w:rPr>
              <w:t>RFP language (Copy and paste from Solicitation)</w:t>
            </w:r>
          </w:p>
        </w:tc>
        <w:tc>
          <w:tcPr>
            <w:tcW w:w="4845" w:type="dxa"/>
            <w:shd w:val="clear" w:color="auto" w:fill="EFEFEF"/>
            <w:tcMar>
              <w:top w:w="100" w:type="dxa"/>
              <w:left w:w="100" w:type="dxa"/>
              <w:bottom w:w="100" w:type="dxa"/>
              <w:right w:w="100" w:type="dxa"/>
            </w:tcMar>
            <w:vAlign w:val="bottom"/>
          </w:tcPr>
          <w:p w:rsidR="006F252B" w:rsidRDefault="00257CF3">
            <w:pPr>
              <w:widowControl w:val="0"/>
              <w:spacing w:before="0" w:line="240" w:lineRule="auto"/>
              <w:jc w:val="center"/>
              <w:rPr>
                <w:b/>
              </w:rPr>
            </w:pPr>
            <w:r>
              <w:rPr>
                <w:b/>
              </w:rPr>
              <w:t>Alternate language and Rationale</w:t>
            </w:r>
          </w:p>
        </w:tc>
      </w:tr>
      <w:tr w:rsidR="006F252B">
        <w:trPr>
          <w:trHeight w:val="20"/>
        </w:trPr>
        <w:tc>
          <w:tcPr>
            <w:tcW w:w="10815" w:type="dxa"/>
            <w:gridSpan w:val="3"/>
            <w:shd w:val="clear" w:color="auto" w:fill="EBFFEB"/>
            <w:tcMar>
              <w:top w:w="100" w:type="dxa"/>
              <w:left w:w="100" w:type="dxa"/>
              <w:bottom w:w="100" w:type="dxa"/>
              <w:right w:w="100" w:type="dxa"/>
            </w:tcMar>
          </w:tcPr>
          <w:p w:rsidR="006F252B" w:rsidRDefault="00257CF3">
            <w:pPr>
              <w:widowControl w:val="0"/>
              <w:spacing w:before="0" w:line="240" w:lineRule="auto"/>
              <w:rPr>
                <w:b/>
                <w:sz w:val="20"/>
                <w:szCs w:val="20"/>
              </w:rPr>
            </w:pPr>
            <w:r>
              <w:rPr>
                <w:b/>
                <w:sz w:val="20"/>
                <w:szCs w:val="20"/>
              </w:rPr>
              <w:t>Special Terms and Conditions</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0815" w:type="dxa"/>
            <w:gridSpan w:val="3"/>
            <w:shd w:val="clear" w:color="auto" w:fill="EBFFEB"/>
            <w:tcMar>
              <w:top w:w="100" w:type="dxa"/>
              <w:left w:w="100" w:type="dxa"/>
              <w:bottom w:w="100" w:type="dxa"/>
              <w:right w:w="100" w:type="dxa"/>
            </w:tcMar>
          </w:tcPr>
          <w:p w:rsidR="006F252B" w:rsidRDefault="00257CF3">
            <w:pPr>
              <w:widowControl w:val="0"/>
              <w:spacing w:before="0" w:line="240" w:lineRule="auto"/>
              <w:rPr>
                <w:b/>
                <w:sz w:val="20"/>
                <w:szCs w:val="20"/>
              </w:rPr>
            </w:pPr>
            <w:r>
              <w:rPr>
                <w:b/>
                <w:sz w:val="20"/>
                <w:szCs w:val="20"/>
              </w:rPr>
              <w:t>Uniform Terms and Conditions</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bl>
    <w:p w:rsidR="006F252B" w:rsidRDefault="006F252B">
      <w:pPr>
        <w:spacing w:before="0" w:after="0"/>
        <w:jc w:val="both"/>
        <w:rPr>
          <w:b/>
        </w:rPr>
      </w:pPr>
    </w:p>
    <w:p w:rsidR="006F252B" w:rsidRDefault="006F252B">
      <w:pPr>
        <w:spacing w:before="0" w:after="0" w:line="240" w:lineRule="auto"/>
        <w:rPr>
          <w:sz w:val="10"/>
          <w:szCs w:val="10"/>
        </w:rPr>
      </w:pPr>
    </w:p>
    <w:tbl>
      <w:tblPr>
        <w:tblStyle w:val="afffffffffffffff8"/>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5055"/>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bl>
    <w:p w:rsidR="00701C1D" w:rsidRDefault="00701C1D">
      <w:pPr>
        <w:tabs>
          <w:tab w:val="left" w:pos="1440"/>
        </w:tabs>
        <w:spacing w:before="0" w:after="0" w:line="240" w:lineRule="auto"/>
      </w:pPr>
      <w:bookmarkStart w:id="4" w:name="_heading=h.qp0dpsrfsv9p" w:colFirst="0" w:colLast="0"/>
      <w:bookmarkEnd w:id="4"/>
    </w:p>
    <w:p w:rsidR="00701C1D" w:rsidRDefault="00701C1D" w:rsidP="00701C1D"/>
    <w:p w:rsidR="006F252B" w:rsidRDefault="00701C1D" w:rsidP="00701C1D">
      <w:pPr>
        <w:tabs>
          <w:tab w:val="left" w:pos="2490"/>
        </w:tabs>
        <w:rPr>
          <w:sz w:val="10"/>
          <w:szCs w:val="10"/>
        </w:rPr>
      </w:pPr>
      <w:r>
        <w:tab/>
      </w:r>
    </w:p>
    <w:sectPr w:rsidR="006F252B" w:rsidSect="00701C1D">
      <w:headerReference w:type="default" r:id="rId8"/>
      <w:footerReference w:type="default" r:id="rId9"/>
      <w:pgSz w:w="12240" w:h="15840"/>
      <w:pgMar w:top="720" w:right="720" w:bottom="720" w:left="720"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3F3" w:rsidRDefault="002D63F3">
      <w:pPr>
        <w:spacing w:before="0" w:after="0" w:line="240" w:lineRule="auto"/>
      </w:pPr>
      <w:r>
        <w:separator/>
      </w:r>
    </w:p>
  </w:endnote>
  <w:endnote w:type="continuationSeparator" w:id="0">
    <w:p w:rsidR="002D63F3" w:rsidRDefault="002D63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2B" w:rsidRPr="00701C1D" w:rsidRDefault="00701C1D" w:rsidP="00701C1D">
    <w:pPr>
      <w:pBdr>
        <w:top w:val="single" w:sz="4" w:space="1" w:color="000000"/>
      </w:pBdr>
      <w:tabs>
        <w:tab w:val="center" w:pos="4680"/>
        <w:tab w:val="right" w:pos="9360"/>
      </w:tabs>
      <w:spacing w:before="0" w:after="0" w:line="240" w:lineRule="auto"/>
      <w:ind w:right="-450" w:hanging="450"/>
      <w:jc w:val="center"/>
    </w:pPr>
    <w:r>
      <w:t>Solicitation Attachment – Conformance Statements |  Revision No. 1  |  Revised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3F3" w:rsidRDefault="002D63F3">
      <w:pPr>
        <w:spacing w:before="0" w:after="0" w:line="240" w:lineRule="auto"/>
      </w:pPr>
      <w:r>
        <w:separator/>
      </w:r>
    </w:p>
  </w:footnote>
  <w:footnote w:type="continuationSeparator" w:id="0">
    <w:p w:rsidR="002D63F3" w:rsidRDefault="002D63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701C1D" w:rsidTr="002E7A74">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701C1D" w:rsidRDefault="00701C1D" w:rsidP="00701C1D">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14:anchorId="55C3A698" wp14:editId="4DDB07C9">
                <wp:extent cx="808038" cy="809625"/>
                <wp:effectExtent l="0" t="0" r="0" b="0"/>
                <wp:docPr id="51"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701C1D" w:rsidRDefault="00701C1D" w:rsidP="00701C1D">
          <w:pPr>
            <w:pStyle w:val="Title"/>
            <w:tabs>
              <w:tab w:val="left" w:pos="663"/>
            </w:tabs>
            <w:rPr>
              <w:sz w:val="28"/>
              <w:szCs w:val="28"/>
            </w:rPr>
          </w:pPr>
          <w:r>
            <w:rPr>
              <w:sz w:val="28"/>
              <w:szCs w:val="28"/>
            </w:rPr>
            <w:t>Request for Proposal</w:t>
          </w:r>
        </w:p>
        <w:p w:rsidR="00701C1D" w:rsidRDefault="00701C1D" w:rsidP="00701C1D">
          <w:pPr>
            <w:tabs>
              <w:tab w:val="left" w:pos="663"/>
            </w:tabs>
            <w:spacing w:before="0" w:line="240" w:lineRule="auto"/>
            <w:jc w:val="center"/>
            <w:rPr>
              <w:sz w:val="8"/>
              <w:szCs w:val="8"/>
            </w:rPr>
          </w:pPr>
        </w:p>
        <w:p w:rsidR="00701C1D" w:rsidRDefault="00701C1D" w:rsidP="00701C1D">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701C1D" w:rsidRDefault="00701C1D" w:rsidP="00701C1D">
          <w:pPr>
            <w:tabs>
              <w:tab w:val="left" w:pos="1440"/>
              <w:tab w:val="left" w:pos="663"/>
            </w:tabs>
            <w:spacing w:before="0" w:line="240" w:lineRule="auto"/>
            <w:jc w:val="center"/>
            <w:rPr>
              <w:sz w:val="8"/>
              <w:szCs w:val="8"/>
            </w:rPr>
          </w:pPr>
        </w:p>
        <w:p w:rsidR="00701C1D" w:rsidRDefault="00701C1D" w:rsidP="00701C1D">
          <w:pPr>
            <w:pStyle w:val="Subtitle"/>
            <w:tabs>
              <w:tab w:val="left" w:pos="270"/>
            </w:tabs>
            <w:ind w:hanging="90"/>
          </w:pPr>
          <w:bookmarkStart w:id="5" w:name="_heading=h.ivktpjab2k27" w:colFirst="0" w:colLast="0"/>
          <w:bookmarkEnd w:id="5"/>
          <w:r>
            <w:rPr>
              <w:b/>
              <w:color w:val="FF0000"/>
              <w:sz w:val="24"/>
              <w:szCs w:val="24"/>
            </w:rPr>
            <w:t>Title</w:t>
          </w:r>
        </w:p>
      </w:tc>
      <w:tc>
        <w:tcPr>
          <w:tcW w:w="3150" w:type="dxa"/>
          <w:shd w:val="clear" w:color="auto" w:fill="FFFFFF"/>
          <w:tcMar>
            <w:left w:w="72" w:type="dxa"/>
            <w:right w:w="72" w:type="dxa"/>
          </w:tcMar>
          <w:vAlign w:val="center"/>
        </w:tcPr>
        <w:p w:rsidR="00701C1D" w:rsidRDefault="00701C1D" w:rsidP="00701C1D">
          <w:pPr>
            <w:tabs>
              <w:tab w:val="center" w:pos="4680"/>
              <w:tab w:val="right" w:pos="9360"/>
            </w:tabs>
            <w:spacing w:before="0" w:line="240" w:lineRule="auto"/>
            <w:jc w:val="center"/>
            <w:rPr>
              <w:highlight w:val="yellow"/>
            </w:rPr>
          </w:pPr>
          <w:r>
            <w:rPr>
              <w:highlight w:val="yellow"/>
            </w:rPr>
            <w:t>Arizona Department of Administration</w:t>
          </w:r>
        </w:p>
        <w:p w:rsidR="00701C1D" w:rsidRDefault="00701C1D" w:rsidP="00701C1D">
          <w:pPr>
            <w:tabs>
              <w:tab w:val="center" w:pos="4680"/>
              <w:tab w:val="right" w:pos="9360"/>
            </w:tabs>
            <w:spacing w:before="0" w:line="240" w:lineRule="auto"/>
            <w:jc w:val="center"/>
            <w:rPr>
              <w:highlight w:val="yellow"/>
            </w:rPr>
          </w:pPr>
          <w:r>
            <w:rPr>
              <w:highlight w:val="yellow"/>
            </w:rPr>
            <w:t>State Procurement Office</w:t>
          </w:r>
        </w:p>
        <w:p w:rsidR="00701C1D" w:rsidRDefault="00701C1D" w:rsidP="00701C1D">
          <w:pPr>
            <w:tabs>
              <w:tab w:val="center" w:pos="4680"/>
              <w:tab w:val="right" w:pos="9360"/>
            </w:tabs>
            <w:spacing w:before="0" w:line="240" w:lineRule="auto"/>
            <w:jc w:val="center"/>
            <w:rPr>
              <w:sz w:val="20"/>
              <w:szCs w:val="20"/>
              <w:highlight w:val="yellow"/>
            </w:rPr>
          </w:pPr>
          <w:r>
            <w:rPr>
              <w:highlight w:val="yellow"/>
            </w:rPr>
            <w:t>100 North 15th Avenue</w:t>
          </w:r>
          <w:r>
            <w:rPr>
              <w:highlight w:val="yellow"/>
            </w:rPr>
            <w:br/>
            <w:t>Phoenix, AZ 85007</w:t>
          </w:r>
        </w:p>
      </w:tc>
    </w:tr>
  </w:tbl>
  <w:p w:rsidR="00701C1D" w:rsidRDefault="00701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A67"/>
    <w:multiLevelType w:val="multilevel"/>
    <w:tmpl w:val="12803838"/>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127C56"/>
    <w:multiLevelType w:val="multilevel"/>
    <w:tmpl w:val="914C9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6B5A74"/>
    <w:multiLevelType w:val="multilevel"/>
    <w:tmpl w:val="BCF21E9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D2825"/>
    <w:multiLevelType w:val="multilevel"/>
    <w:tmpl w:val="ACA2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B5381C"/>
    <w:multiLevelType w:val="multilevel"/>
    <w:tmpl w:val="8092CD2C"/>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AFF6457"/>
    <w:multiLevelType w:val="multilevel"/>
    <w:tmpl w:val="4C889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5D2632"/>
    <w:multiLevelType w:val="multilevel"/>
    <w:tmpl w:val="23BE7A82"/>
    <w:lvl w:ilvl="0">
      <w:start w:val="1"/>
      <w:numFmt w:val="decimal"/>
      <w:lvlText w:val="%1."/>
      <w:lvlJc w:val="right"/>
      <w:pPr>
        <w:ind w:left="720" w:hanging="45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B186F2B"/>
    <w:multiLevelType w:val="multilevel"/>
    <w:tmpl w:val="29842EE2"/>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AAE5DB9"/>
    <w:multiLevelType w:val="multilevel"/>
    <w:tmpl w:val="7C02FCBE"/>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B344F45"/>
    <w:multiLevelType w:val="multilevel"/>
    <w:tmpl w:val="AEF4468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C5757F"/>
    <w:multiLevelType w:val="multilevel"/>
    <w:tmpl w:val="C4E8A1C2"/>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1" w15:restartNumberingAfterBreak="0">
    <w:nsid w:val="54AA428A"/>
    <w:multiLevelType w:val="multilevel"/>
    <w:tmpl w:val="B3D6B130"/>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2" w15:restartNumberingAfterBreak="0">
    <w:nsid w:val="56F6700A"/>
    <w:multiLevelType w:val="multilevel"/>
    <w:tmpl w:val="FE86E46C"/>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3A9089B"/>
    <w:multiLevelType w:val="multilevel"/>
    <w:tmpl w:val="90C8ECA8"/>
    <w:lvl w:ilvl="0">
      <w:start w:val="1"/>
      <w:numFmt w:val="lowerLetter"/>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7766E7E"/>
    <w:multiLevelType w:val="multilevel"/>
    <w:tmpl w:val="4A587A24"/>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7F5E7D76"/>
    <w:multiLevelType w:val="multilevel"/>
    <w:tmpl w:val="F3EAF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5"/>
  </w:num>
  <w:num w:numId="4">
    <w:abstractNumId w:val="15"/>
  </w:num>
  <w:num w:numId="5">
    <w:abstractNumId w:val="7"/>
  </w:num>
  <w:num w:numId="6">
    <w:abstractNumId w:val="3"/>
  </w:num>
  <w:num w:numId="7">
    <w:abstractNumId w:val="14"/>
  </w:num>
  <w:num w:numId="8">
    <w:abstractNumId w:val="1"/>
  </w:num>
  <w:num w:numId="9">
    <w:abstractNumId w:val="8"/>
  </w:num>
  <w:num w:numId="10">
    <w:abstractNumId w:val="12"/>
  </w:num>
  <w:num w:numId="11">
    <w:abstractNumId w:val="11"/>
  </w:num>
  <w:num w:numId="12">
    <w:abstractNumId w:val="0"/>
  </w:num>
  <w:num w:numId="13">
    <w:abstractNumId w:val="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2B"/>
    <w:rsid w:val="00257CF3"/>
    <w:rsid w:val="002D63F3"/>
    <w:rsid w:val="00696600"/>
    <w:rsid w:val="006F252B"/>
    <w:rsid w:val="00701C1D"/>
    <w:rsid w:val="008A32CC"/>
    <w:rsid w:val="00C5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E984"/>
  <w15:docId w15:val="{86471292-F2EA-412D-87E8-D79528F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top w:w="58" w:type="dxa"/>
        <w:left w:w="0" w:type="dxa"/>
        <w:right w:w="0" w:type="dxa"/>
      </w:tblCellMar>
    </w:tblPr>
  </w:style>
  <w:style w:type="table" w:customStyle="1" w:styleId="a0">
    <w:basedOn w:val="TableNormal"/>
    <w:pPr>
      <w:spacing w:before="90" w:after="0" w:line="252" w:lineRule="auto"/>
    </w:pPr>
    <w:rPr>
      <w:sz w:val="21"/>
      <w:szCs w:val="21"/>
    </w:rPr>
    <w:tblPr>
      <w:tblStyleRowBandSize w:val="1"/>
      <w:tblStyleColBandSize w:val="1"/>
    </w:tblPr>
  </w:style>
  <w:style w:type="table" w:customStyle="1" w:styleId="a1">
    <w:basedOn w:val="TableNormal"/>
    <w:pPr>
      <w:spacing w:before="90" w:after="0" w:line="252" w:lineRule="auto"/>
    </w:pPr>
    <w:rPr>
      <w:sz w:val="21"/>
      <w:szCs w:val="21"/>
    </w:rPr>
    <w:tblPr>
      <w:tblStyleRowBandSize w:val="1"/>
      <w:tblStyleColBandSize w:val="1"/>
    </w:tblPr>
  </w:style>
  <w:style w:type="table" w:customStyle="1" w:styleId="a2">
    <w:basedOn w:val="TableNormal"/>
    <w:tblPr>
      <w:tblStyleRowBandSize w:val="1"/>
      <w:tblStyleColBandSize w:val="1"/>
      <w:tblCellMar>
        <w:top w:w="58" w:type="dxa"/>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90" w:after="0" w:line="252" w:lineRule="auto"/>
    </w:pPr>
    <w:rPr>
      <w:sz w:val="21"/>
      <w:szCs w:val="21"/>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90" w:after="0" w:line="252" w:lineRule="auto"/>
    </w:pPr>
    <w:rPr>
      <w:sz w:val="21"/>
      <w:szCs w:val="21"/>
    </w:rPr>
    <w:tblPr>
      <w:tblStyleRowBandSize w:val="1"/>
      <w:tblStyleColBandSize w:val="1"/>
    </w:tblPr>
  </w:style>
  <w:style w:type="table" w:customStyle="1" w:styleId="a7">
    <w:basedOn w:val="TableNormal"/>
    <w:pPr>
      <w:spacing w:before="90" w:after="0" w:line="252" w:lineRule="auto"/>
    </w:pPr>
    <w:rPr>
      <w:sz w:val="21"/>
      <w:szCs w:val="21"/>
    </w:rPr>
    <w:tblPr>
      <w:tblStyleRowBandSize w:val="1"/>
      <w:tblStyleColBandSize w:val="1"/>
    </w:tblPr>
  </w:style>
  <w:style w:type="table" w:customStyle="1" w:styleId="a8">
    <w:basedOn w:val="TableNormal"/>
    <w:pPr>
      <w:spacing w:before="90" w:after="0" w:line="252" w:lineRule="auto"/>
    </w:pPr>
    <w:rPr>
      <w:sz w:val="21"/>
      <w:szCs w:val="21"/>
    </w:rPr>
    <w:tblPr>
      <w:tblStyleRowBandSize w:val="1"/>
      <w:tblStyleColBandSize w:val="1"/>
    </w:tblPr>
  </w:style>
  <w:style w:type="table" w:customStyle="1" w:styleId="a9">
    <w:basedOn w:val="TableNormal"/>
    <w:pPr>
      <w:spacing w:before="90" w:after="0" w:line="252" w:lineRule="auto"/>
    </w:pPr>
    <w:rPr>
      <w:sz w:val="21"/>
      <w:szCs w:val="21"/>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90" w:after="0" w:line="252" w:lineRule="auto"/>
    </w:pPr>
    <w:rPr>
      <w:sz w:val="21"/>
      <w:szCs w:val="21"/>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before="90" w:after="0" w:line="252" w:lineRule="auto"/>
    </w:pPr>
    <w:rPr>
      <w:sz w:val="21"/>
      <w:szCs w:val="21"/>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before="90" w:after="0" w:line="252" w:lineRule="auto"/>
    </w:pPr>
    <w:rPr>
      <w:sz w:val="21"/>
      <w:szCs w:val="21"/>
    </w:rPr>
    <w:tblPr>
      <w:tblStyleRowBandSize w:val="1"/>
      <w:tblStyleColBandSize w:val="1"/>
    </w:tblPr>
  </w:style>
  <w:style w:type="table" w:customStyle="1" w:styleId="af2">
    <w:basedOn w:val="TableNormal"/>
    <w:pPr>
      <w:spacing w:before="90" w:after="0" w:line="252" w:lineRule="auto"/>
    </w:pPr>
    <w:rPr>
      <w:sz w:val="21"/>
      <w:szCs w:val="21"/>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9">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A0B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B98"/>
  </w:style>
  <w:style w:type="paragraph" w:styleId="Footer">
    <w:name w:val="footer"/>
    <w:basedOn w:val="Normal"/>
    <w:link w:val="FooterChar"/>
    <w:uiPriority w:val="99"/>
    <w:unhideWhenUsed/>
    <w:rsid w:val="004A0B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B98"/>
  </w:style>
  <w:style w:type="character" w:customStyle="1" w:styleId="TitleChar">
    <w:name w:val="Title Char"/>
    <w:basedOn w:val="DefaultParagraphFont"/>
    <w:link w:val="Title"/>
    <w:uiPriority w:val="10"/>
    <w:rsid w:val="00162E18"/>
    <w:rPr>
      <w:b/>
      <w:sz w:val="21"/>
      <w:szCs w:val="21"/>
    </w:rPr>
  </w:style>
  <w:style w:type="character" w:customStyle="1" w:styleId="SubtitleChar">
    <w:name w:val="Subtitle Char"/>
    <w:basedOn w:val="DefaultParagraphFont"/>
    <w:link w:val="Subtitle"/>
    <w:uiPriority w:val="11"/>
    <w:rsid w:val="00162E18"/>
    <w:rPr>
      <w:sz w:val="20"/>
      <w:szCs w:val="20"/>
    </w:r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D66"/>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7D66"/>
    <w:rPr>
      <w:rFonts w:ascii="Segoe UI" w:hAnsi="Segoe UI" w:cs="Segoe UI"/>
    </w:rPr>
  </w:style>
  <w:style w:type="table" w:customStyle="1" w:styleId="afff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5UEfbit+kIK11LvmF6iJSwcLA==">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 Calimag</dc:creator>
  <cp:lastModifiedBy>Jenn P Calimag</cp:lastModifiedBy>
  <cp:revision>2</cp:revision>
  <dcterms:created xsi:type="dcterms:W3CDTF">2022-11-18T17:08:00Z</dcterms:created>
  <dcterms:modified xsi:type="dcterms:W3CDTF">2022-11-18T17:08:00Z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7ee2ad44f8321774f1b15c6946beb0879bb4d91caf07ec72ed6cc0688b6fbdf7</vt:lpwstr>
  </property>
</Properties>
</file>